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BF" w:rsidRDefault="0024133B">
      <w:pPr>
        <w:pStyle w:val="BodyA"/>
        <w:spacing w:line="259" w:lineRule="auto"/>
        <w:jc w:val="both"/>
        <w:rPr>
          <w:rFonts w:ascii="Times" w:eastAsia="Times" w:hAnsi="Times" w:cs="Times"/>
          <w:sz w:val="26"/>
          <w:szCs w:val="26"/>
        </w:rPr>
      </w:pPr>
      <w:bookmarkStart w:id="0" w:name="_GoBack"/>
      <w:bookmarkEnd w:id="0"/>
      <w:r>
        <w:rPr>
          <w:rFonts w:ascii="Times" w:hAnsi="Times"/>
          <w:sz w:val="26"/>
          <w:szCs w:val="26"/>
          <w:shd w:val="clear" w:color="auto" w:fill="FFFF00"/>
        </w:rPr>
        <w:t>DATE</w:t>
      </w:r>
    </w:p>
    <w:p w:rsidR="00A320BF" w:rsidRDefault="00A320BF">
      <w:pPr>
        <w:pStyle w:val="BodyA"/>
        <w:spacing w:line="259" w:lineRule="auto"/>
        <w:jc w:val="both"/>
        <w:rPr>
          <w:rFonts w:ascii="Times" w:eastAsia="Times" w:hAnsi="Times" w:cs="Times"/>
          <w:sz w:val="26"/>
          <w:szCs w:val="26"/>
        </w:rPr>
      </w:pPr>
    </w:p>
    <w:p w:rsidR="00A320BF" w:rsidRDefault="0024133B">
      <w:pPr>
        <w:pStyle w:val="Default"/>
        <w:spacing w:line="80" w:lineRule="atLeast"/>
        <w:rPr>
          <w:rFonts w:ascii="Times" w:eastAsia="Times" w:hAnsi="Times" w:cs="Times"/>
          <w:sz w:val="26"/>
          <w:szCs w:val="26"/>
        </w:rPr>
      </w:pPr>
      <w:r>
        <w:rPr>
          <w:rFonts w:ascii="Times" w:hAnsi="Times"/>
          <w:sz w:val="26"/>
          <w:szCs w:val="26"/>
        </w:rPr>
        <w:t>The Honorable Anthony Portantino</w:t>
      </w:r>
    </w:p>
    <w:p w:rsidR="00A320BF" w:rsidRDefault="0024133B">
      <w:pPr>
        <w:pStyle w:val="Default"/>
        <w:spacing w:line="80" w:lineRule="atLeast"/>
        <w:rPr>
          <w:rFonts w:ascii="Times" w:eastAsia="Times" w:hAnsi="Times" w:cs="Times"/>
          <w:sz w:val="26"/>
          <w:szCs w:val="26"/>
        </w:rPr>
      </w:pPr>
      <w:r>
        <w:rPr>
          <w:rFonts w:ascii="Times" w:hAnsi="Times"/>
          <w:sz w:val="26"/>
          <w:szCs w:val="26"/>
          <w:lang w:val="en-US"/>
        </w:rPr>
        <w:t>Chair, Senate Appropriations Committee</w:t>
      </w:r>
    </w:p>
    <w:p w:rsidR="00A320BF" w:rsidRDefault="0024133B">
      <w:pPr>
        <w:pStyle w:val="Default"/>
        <w:spacing w:line="80" w:lineRule="atLeast"/>
        <w:rPr>
          <w:rFonts w:ascii="Times" w:eastAsia="Times" w:hAnsi="Times" w:cs="Times"/>
          <w:sz w:val="26"/>
          <w:szCs w:val="26"/>
        </w:rPr>
      </w:pPr>
      <w:r>
        <w:rPr>
          <w:rFonts w:ascii="Times" w:hAnsi="Times"/>
          <w:sz w:val="26"/>
          <w:szCs w:val="26"/>
        </w:rPr>
        <w:t>1020 N St., Room 2206</w:t>
      </w:r>
    </w:p>
    <w:p w:rsidR="00A320BF" w:rsidRDefault="0024133B">
      <w:pPr>
        <w:pStyle w:val="Default"/>
        <w:spacing w:line="80" w:lineRule="atLeast"/>
        <w:rPr>
          <w:rFonts w:ascii="Times" w:eastAsia="Times" w:hAnsi="Times" w:cs="Times"/>
          <w:sz w:val="26"/>
          <w:szCs w:val="26"/>
        </w:rPr>
      </w:pPr>
      <w:r>
        <w:rPr>
          <w:rFonts w:ascii="Times" w:hAnsi="Times"/>
          <w:sz w:val="26"/>
          <w:szCs w:val="26"/>
        </w:rPr>
        <w:t>Sacramento, CA 95814</w:t>
      </w:r>
    </w:p>
    <w:p w:rsidR="00A320BF" w:rsidRDefault="00A320BF">
      <w:pPr>
        <w:pStyle w:val="BodyA"/>
        <w:spacing w:line="259" w:lineRule="auto"/>
        <w:jc w:val="both"/>
        <w:rPr>
          <w:rFonts w:ascii="Times" w:eastAsia="Times" w:hAnsi="Times" w:cs="Times"/>
          <w:sz w:val="26"/>
          <w:szCs w:val="26"/>
          <w:lang w:val="it-IT"/>
        </w:rPr>
      </w:pPr>
    </w:p>
    <w:p w:rsidR="00A320BF" w:rsidRDefault="0024133B">
      <w:pPr>
        <w:pStyle w:val="Default"/>
        <w:spacing w:line="380" w:lineRule="atLeast"/>
        <w:rPr>
          <w:rFonts w:ascii="Times" w:eastAsia="Times" w:hAnsi="Times" w:cs="Times"/>
          <w:sz w:val="26"/>
          <w:szCs w:val="26"/>
        </w:rPr>
      </w:pPr>
      <w:r>
        <w:rPr>
          <w:rFonts w:ascii="Times" w:hAnsi="Times"/>
          <w:sz w:val="26"/>
          <w:szCs w:val="26"/>
        </w:rPr>
        <w:t xml:space="preserve">Re:  SB 440 (Pan) – </w:t>
      </w:r>
      <w:r>
        <w:rPr>
          <w:rFonts w:ascii="Times" w:hAnsi="Times"/>
          <w:sz w:val="26"/>
          <w:szCs w:val="26"/>
          <w:lang w:val="en-US"/>
        </w:rPr>
        <w:t xml:space="preserve">Cognitive Impairment Safety Net System Task Force </w:t>
      </w:r>
      <w:r>
        <w:rPr>
          <w:rFonts w:ascii="Times" w:hAnsi="Times"/>
          <w:sz w:val="26"/>
          <w:szCs w:val="26"/>
        </w:rPr>
        <w:t>…</w:t>
      </w:r>
      <w:r>
        <w:rPr>
          <w:rFonts w:ascii="Times" w:hAnsi="Times"/>
          <w:sz w:val="26"/>
          <w:szCs w:val="26"/>
          <w:lang w:val="en-US"/>
        </w:rPr>
        <w:t>S</w:t>
      </w:r>
      <w:r>
        <w:rPr>
          <w:rFonts w:ascii="Times" w:hAnsi="Times"/>
          <w:sz w:val="26"/>
          <w:szCs w:val="26"/>
        </w:rPr>
        <w:t>UPPORT</w:t>
      </w:r>
    </w:p>
    <w:p w:rsidR="00A320BF" w:rsidRDefault="00A320BF">
      <w:pPr>
        <w:pStyle w:val="BodyA"/>
        <w:spacing w:line="259" w:lineRule="auto"/>
        <w:jc w:val="both"/>
        <w:rPr>
          <w:rFonts w:ascii="Times" w:eastAsia="Times" w:hAnsi="Times" w:cs="Times"/>
          <w:sz w:val="26"/>
          <w:szCs w:val="26"/>
        </w:rPr>
      </w:pPr>
    </w:p>
    <w:p w:rsidR="00A320BF" w:rsidRDefault="0024133B">
      <w:pPr>
        <w:pStyle w:val="BodyA"/>
        <w:spacing w:line="259" w:lineRule="auto"/>
        <w:jc w:val="both"/>
        <w:rPr>
          <w:rFonts w:ascii="Times" w:eastAsia="Times" w:hAnsi="Times" w:cs="Times"/>
          <w:sz w:val="26"/>
          <w:szCs w:val="26"/>
        </w:rPr>
      </w:pPr>
      <w:r>
        <w:rPr>
          <w:rFonts w:ascii="Times" w:hAnsi="Times"/>
          <w:sz w:val="26"/>
          <w:szCs w:val="26"/>
        </w:rPr>
        <w:t>Dear Chairman Portantino:</w:t>
      </w:r>
    </w:p>
    <w:p w:rsidR="00A320BF" w:rsidRDefault="00A320BF">
      <w:pPr>
        <w:pStyle w:val="BodyTextIndent"/>
        <w:spacing w:line="259" w:lineRule="auto"/>
        <w:jc w:val="left"/>
        <w:rPr>
          <w:rFonts w:ascii="Times" w:eastAsia="Times" w:hAnsi="Times" w:cs="Times"/>
          <w:sz w:val="26"/>
          <w:szCs w:val="26"/>
        </w:rPr>
      </w:pPr>
    </w:p>
    <w:p w:rsidR="00A320BF" w:rsidRDefault="0024133B">
      <w:pPr>
        <w:pStyle w:val="BodyTextIndent"/>
        <w:spacing w:line="259" w:lineRule="auto"/>
        <w:jc w:val="left"/>
        <w:rPr>
          <w:rFonts w:ascii="Times" w:eastAsia="Times" w:hAnsi="Times" w:cs="Times"/>
          <w:sz w:val="26"/>
          <w:szCs w:val="26"/>
        </w:rPr>
      </w:pPr>
      <w:r>
        <w:rPr>
          <w:rFonts w:ascii="Times" w:hAnsi="Times"/>
          <w:sz w:val="26"/>
          <w:szCs w:val="26"/>
          <w:shd w:val="clear" w:color="auto" w:fill="FFFF00"/>
        </w:rPr>
        <w:t>[Organization name]</w:t>
      </w:r>
      <w:r>
        <w:rPr>
          <w:rFonts w:ascii="Times" w:hAnsi="Times"/>
          <w:sz w:val="26"/>
          <w:szCs w:val="26"/>
        </w:rPr>
        <w:t xml:space="preserve"> is pleased to be part of a large coalition of organizations requesting your support for SB 440 (Pan), calling for the establishment of a Cognitive Impairment Safety Net System Task Force, a bill co-sponsored  by the County Welfare Directors’ Association, the California Commission on Aging, and the California Elder Justice Coalition.  The growing numbers of cognitively impaired individuals in California and the limited array of services available to them makes this Task Force timely and critical.  </w:t>
      </w:r>
    </w:p>
    <w:p w:rsidR="00A320BF" w:rsidRDefault="00A320BF">
      <w:pPr>
        <w:pStyle w:val="BodyTextIndent"/>
        <w:spacing w:line="259" w:lineRule="auto"/>
        <w:jc w:val="left"/>
        <w:rPr>
          <w:rFonts w:ascii="Times" w:eastAsia="Times" w:hAnsi="Times" w:cs="Times"/>
          <w:sz w:val="26"/>
          <w:szCs w:val="26"/>
        </w:rPr>
      </w:pPr>
    </w:p>
    <w:p w:rsidR="00A320BF" w:rsidRDefault="0024133B">
      <w:pPr>
        <w:pStyle w:val="BodyTextIndent"/>
        <w:spacing w:line="259" w:lineRule="auto"/>
        <w:jc w:val="left"/>
        <w:rPr>
          <w:rFonts w:ascii="Times" w:eastAsia="Times" w:hAnsi="Times" w:cs="Times"/>
          <w:sz w:val="26"/>
          <w:szCs w:val="26"/>
        </w:rPr>
      </w:pPr>
      <w:r>
        <w:rPr>
          <w:rFonts w:ascii="Times" w:hAnsi="Times"/>
          <w:sz w:val="26"/>
          <w:szCs w:val="26"/>
        </w:rPr>
        <w:t>California’s State plan for Alzheimer’s Disease projects a doubling in the number of individuals with Alzheimer’s disease by the year 2020, with the greatest impacts on communities of color and women. Chronic health conditions, substance abuse, traumatic brain injury and the growing numbers of older adults will continue to drive the numbers higher, while the service network for these individuals remains under-resourced and fragmented.  </w:t>
      </w:r>
    </w:p>
    <w:p w:rsidR="00A320BF" w:rsidRDefault="00A320BF">
      <w:pPr>
        <w:pStyle w:val="BodyTextIndent"/>
        <w:spacing w:line="259" w:lineRule="auto"/>
        <w:jc w:val="left"/>
        <w:rPr>
          <w:rFonts w:ascii="Times" w:eastAsia="Times" w:hAnsi="Times" w:cs="Times"/>
          <w:sz w:val="26"/>
          <w:szCs w:val="26"/>
        </w:rPr>
      </w:pPr>
    </w:p>
    <w:p w:rsidR="00A320BF" w:rsidRDefault="0024133B">
      <w:pPr>
        <w:pStyle w:val="BodyTextIndent"/>
        <w:spacing w:line="259" w:lineRule="auto"/>
        <w:jc w:val="left"/>
        <w:rPr>
          <w:rFonts w:ascii="Times" w:eastAsia="Times" w:hAnsi="Times" w:cs="Times"/>
          <w:sz w:val="26"/>
          <w:szCs w:val="26"/>
        </w:rPr>
      </w:pPr>
      <w:r>
        <w:rPr>
          <w:rFonts w:ascii="Times" w:hAnsi="Times"/>
          <w:sz w:val="26"/>
          <w:szCs w:val="26"/>
        </w:rPr>
        <w:t xml:space="preserve">Adults with cognitive impairments are also at exceptionally high risk for elder abuse, neglect, and exploitation as evidenced by these shocking statistics: </w:t>
      </w:r>
    </w:p>
    <w:p w:rsidR="00A320BF" w:rsidRDefault="0024133B">
      <w:pPr>
        <w:pStyle w:val="BodyA"/>
        <w:widowControl/>
        <w:numPr>
          <w:ilvl w:val="0"/>
          <w:numId w:val="2"/>
        </w:numPr>
        <w:spacing w:after="120"/>
        <w:ind w:right="14"/>
        <w:rPr>
          <w:rFonts w:ascii="Times" w:hAnsi="Times"/>
          <w:sz w:val="26"/>
          <w:szCs w:val="26"/>
        </w:rPr>
      </w:pPr>
      <w:r>
        <w:rPr>
          <w:rFonts w:ascii="Times" w:hAnsi="Times"/>
          <w:sz w:val="26"/>
          <w:szCs w:val="26"/>
        </w:rPr>
        <w:t>A study of 284 sexual abuse cases revealed that 60% of the elderly victims suffered from cognitive impairment or dementia (Burgess &amp; Phillips, 2006)</w:t>
      </w:r>
    </w:p>
    <w:p w:rsidR="00A320BF" w:rsidRDefault="0024133B">
      <w:pPr>
        <w:pStyle w:val="BodyA"/>
        <w:widowControl/>
        <w:numPr>
          <w:ilvl w:val="0"/>
          <w:numId w:val="3"/>
        </w:numPr>
        <w:spacing w:after="120"/>
        <w:ind w:right="14"/>
        <w:rPr>
          <w:rFonts w:ascii="Times" w:hAnsi="Times"/>
          <w:sz w:val="26"/>
          <w:szCs w:val="26"/>
        </w:rPr>
      </w:pPr>
      <w:r>
        <w:rPr>
          <w:rFonts w:ascii="Times" w:hAnsi="Times"/>
          <w:sz w:val="26"/>
          <w:szCs w:val="26"/>
        </w:rPr>
        <w:t xml:space="preserve">In a study of 481 primary family caregivers for older adults with dementia, 20.2% admitted that they had neglected the person they cared for (Lee &amp; </w:t>
      </w:r>
      <w:proofErr w:type="spellStart"/>
      <w:r>
        <w:rPr>
          <w:rFonts w:ascii="Times" w:hAnsi="Times"/>
          <w:sz w:val="26"/>
          <w:szCs w:val="26"/>
        </w:rPr>
        <w:t>Kolomer</w:t>
      </w:r>
      <w:proofErr w:type="spellEnd"/>
      <w:r>
        <w:rPr>
          <w:rFonts w:ascii="Times" w:hAnsi="Times"/>
          <w:sz w:val="26"/>
          <w:szCs w:val="26"/>
        </w:rPr>
        <w:t>, 2005) </w:t>
      </w:r>
    </w:p>
    <w:p w:rsidR="00A320BF" w:rsidRDefault="0024133B">
      <w:pPr>
        <w:pStyle w:val="BodyA"/>
        <w:widowControl/>
        <w:numPr>
          <w:ilvl w:val="0"/>
          <w:numId w:val="3"/>
        </w:numPr>
        <w:spacing w:after="120"/>
        <w:ind w:right="14"/>
        <w:rPr>
          <w:rFonts w:ascii="Times" w:hAnsi="Times"/>
          <w:sz w:val="26"/>
          <w:szCs w:val="26"/>
        </w:rPr>
      </w:pPr>
      <w:r>
        <w:rPr>
          <w:rFonts w:ascii="Times" w:hAnsi="Times"/>
          <w:sz w:val="26"/>
          <w:szCs w:val="26"/>
        </w:rPr>
        <w:t xml:space="preserve">A study of 4,627 community-dwelling older adults with cognitive impairments found rates of self-neglect of 18.8% and 13.6% among men and women, respectively (Dong, Simon, </w:t>
      </w:r>
      <w:proofErr w:type="spellStart"/>
      <w:r>
        <w:rPr>
          <w:rFonts w:ascii="Times" w:hAnsi="Times"/>
          <w:sz w:val="26"/>
          <w:szCs w:val="26"/>
        </w:rPr>
        <w:t>Mosqueda</w:t>
      </w:r>
      <w:proofErr w:type="spellEnd"/>
      <w:r>
        <w:rPr>
          <w:rFonts w:ascii="Times" w:hAnsi="Times"/>
          <w:sz w:val="26"/>
          <w:szCs w:val="26"/>
        </w:rPr>
        <w:t>, &amp; Evans, 2012) </w:t>
      </w:r>
    </w:p>
    <w:p w:rsidR="00A320BF" w:rsidRDefault="0024133B">
      <w:pPr>
        <w:pStyle w:val="BodyA"/>
        <w:widowControl/>
        <w:numPr>
          <w:ilvl w:val="0"/>
          <w:numId w:val="3"/>
        </w:numPr>
        <w:spacing w:after="120"/>
        <w:ind w:right="14"/>
        <w:rPr>
          <w:rFonts w:ascii="Times" w:hAnsi="Times"/>
          <w:sz w:val="26"/>
          <w:szCs w:val="26"/>
        </w:rPr>
      </w:pPr>
      <w:r>
        <w:rPr>
          <w:rFonts w:ascii="Times" w:hAnsi="Times"/>
          <w:sz w:val="26"/>
          <w:szCs w:val="26"/>
        </w:rPr>
        <w:t>In a study of 816 US households with care recipients who received long-term care services, 12.6% of those with cognitive problems had experienced elder abuse (Post, et al., 2010).  </w:t>
      </w:r>
    </w:p>
    <w:p w:rsidR="00A320BF" w:rsidRDefault="0024133B">
      <w:pPr>
        <w:pStyle w:val="Default"/>
        <w:rPr>
          <w:rFonts w:ascii="Times" w:eastAsia="Times" w:hAnsi="Times" w:cs="Times"/>
          <w:sz w:val="26"/>
          <w:szCs w:val="26"/>
          <w:u w:color="000000"/>
          <w:shd w:val="clear" w:color="auto" w:fill="FFFFFF"/>
          <w:lang w:val="en-US"/>
        </w:rPr>
      </w:pPr>
      <w:r>
        <w:rPr>
          <w:rFonts w:ascii="Times" w:hAnsi="Times"/>
          <w:sz w:val="26"/>
          <w:szCs w:val="26"/>
          <w:u w:color="000000"/>
          <w:shd w:val="clear" w:color="auto" w:fill="FFFFFF"/>
          <w:lang w:val="en-US"/>
        </w:rPr>
        <w:lastRenderedPageBreak/>
        <w:t xml:space="preserve">Adults with cognitive impairments are also at extremely high risk for rights denied, including the right to privacy and to live in minimally restrictive settings. These violations result from the shortage of advocates, including public and private guardians and conservators and interventions such as supported decision making or guardianships and conservatorships that are limited in duration and their scope of authority. Also lacking is adequate supervision and oversight of conservators. </w:t>
      </w:r>
    </w:p>
    <w:p w:rsidR="00A320BF" w:rsidRDefault="00A320BF">
      <w:pPr>
        <w:pStyle w:val="Default"/>
        <w:rPr>
          <w:rFonts w:ascii="Times" w:eastAsia="Times" w:hAnsi="Times" w:cs="Times"/>
          <w:sz w:val="26"/>
          <w:szCs w:val="26"/>
          <w:u w:color="000000"/>
          <w:shd w:val="clear" w:color="auto" w:fill="FFFFFF"/>
          <w:lang w:val="en-US"/>
        </w:rPr>
      </w:pPr>
    </w:p>
    <w:p w:rsidR="00A320BF" w:rsidRDefault="0024133B">
      <w:pPr>
        <w:pStyle w:val="Default"/>
        <w:rPr>
          <w:rFonts w:ascii="Times" w:eastAsia="Times" w:hAnsi="Times" w:cs="Times"/>
          <w:sz w:val="26"/>
          <w:szCs w:val="26"/>
          <w:u w:color="000000"/>
          <w:shd w:val="clear" w:color="auto" w:fill="FFFFFF"/>
          <w:lang w:val="en-US"/>
        </w:rPr>
      </w:pPr>
      <w:r>
        <w:rPr>
          <w:rFonts w:ascii="Times" w:hAnsi="Times"/>
          <w:sz w:val="26"/>
          <w:szCs w:val="26"/>
          <w:u w:color="000000"/>
          <w:lang w:val="en-US"/>
        </w:rPr>
        <w:t>To address these issues, w</w:t>
      </w:r>
      <w:r>
        <w:rPr>
          <w:rFonts w:ascii="Times" w:hAnsi="Times"/>
          <w:sz w:val="26"/>
          <w:szCs w:val="26"/>
          <w:u w:color="000000"/>
          <w:shd w:val="clear" w:color="auto" w:fill="FFFFFF"/>
          <w:lang w:val="en-US"/>
        </w:rPr>
        <w:t>e recommend that the Task Force:</w:t>
      </w:r>
    </w:p>
    <w:p w:rsidR="00A320BF" w:rsidRDefault="0024133B">
      <w:pPr>
        <w:pStyle w:val="Default"/>
        <w:numPr>
          <w:ilvl w:val="0"/>
          <w:numId w:val="3"/>
        </w:numPr>
        <w:rPr>
          <w:rFonts w:ascii="Times" w:hAnsi="Times"/>
          <w:sz w:val="26"/>
          <w:szCs w:val="26"/>
          <w:u w:color="000000"/>
          <w:lang w:val="en-US"/>
        </w:rPr>
      </w:pPr>
      <w:r>
        <w:rPr>
          <w:rFonts w:ascii="Times" w:hAnsi="Times"/>
          <w:sz w:val="26"/>
          <w:szCs w:val="26"/>
          <w:u w:color="000000"/>
          <w:shd w:val="clear" w:color="auto" w:fill="FFFFFF"/>
          <w:lang w:val="en-US"/>
        </w:rPr>
        <w:t>Include representative(s) from the field of elder abuse prevention, probate court personnel, providers of legal assistance to older adults, and the judiciary.</w:t>
      </w:r>
    </w:p>
    <w:p w:rsidR="00A320BF" w:rsidRDefault="0024133B">
      <w:pPr>
        <w:pStyle w:val="Default"/>
        <w:numPr>
          <w:ilvl w:val="0"/>
          <w:numId w:val="3"/>
        </w:numPr>
        <w:rPr>
          <w:rFonts w:ascii="Times" w:hAnsi="Times"/>
          <w:sz w:val="26"/>
          <w:szCs w:val="26"/>
          <w:u w:color="000000"/>
          <w:lang w:val="en-US"/>
        </w:rPr>
      </w:pPr>
      <w:r>
        <w:rPr>
          <w:rFonts w:ascii="Times" w:hAnsi="Times"/>
          <w:sz w:val="26"/>
          <w:szCs w:val="26"/>
          <w:u w:color="000000"/>
          <w:shd w:val="clear" w:color="auto" w:fill="FFFFFF"/>
          <w:lang w:val="en-US"/>
        </w:rPr>
        <w:t>Explore the need for stronger protections against abuse, neglect, and exploitation for adults with cognitive impairments.</w:t>
      </w:r>
    </w:p>
    <w:p w:rsidR="00A320BF" w:rsidRDefault="0024133B">
      <w:pPr>
        <w:pStyle w:val="Default"/>
        <w:numPr>
          <w:ilvl w:val="0"/>
          <w:numId w:val="3"/>
        </w:numPr>
        <w:rPr>
          <w:rFonts w:ascii="Times" w:hAnsi="Times"/>
          <w:sz w:val="26"/>
          <w:szCs w:val="26"/>
          <w:u w:color="000000"/>
          <w:lang w:val="en-US"/>
        </w:rPr>
      </w:pPr>
      <w:r>
        <w:rPr>
          <w:rFonts w:ascii="Times" w:hAnsi="Times"/>
          <w:sz w:val="26"/>
          <w:szCs w:val="26"/>
          <w:u w:color="000000"/>
          <w:shd w:val="clear" w:color="auto" w:fill="FFFFFF"/>
          <w:lang w:val="en-US"/>
        </w:rPr>
        <w:t>Explore the need for alternatives to conservatorship (e.g. supported decision-making), limited conservatorship, and enhanced monitoring of conservators.</w:t>
      </w:r>
    </w:p>
    <w:p w:rsidR="00A320BF" w:rsidRDefault="00A320BF">
      <w:pPr>
        <w:pStyle w:val="BodyA"/>
        <w:widowControl/>
        <w:spacing w:line="259" w:lineRule="auto"/>
        <w:rPr>
          <w:rFonts w:ascii="Times" w:eastAsia="Times" w:hAnsi="Times" w:cs="Times"/>
          <w:sz w:val="26"/>
          <w:szCs w:val="26"/>
          <w:shd w:val="clear" w:color="auto" w:fill="FFFFFF"/>
        </w:rPr>
      </w:pPr>
    </w:p>
    <w:p w:rsidR="00A320BF" w:rsidRDefault="00A320BF">
      <w:pPr>
        <w:pStyle w:val="BodyA"/>
        <w:spacing w:line="259" w:lineRule="auto"/>
        <w:rPr>
          <w:rFonts w:ascii="Times" w:eastAsia="Times" w:hAnsi="Times" w:cs="Times"/>
          <w:sz w:val="26"/>
          <w:szCs w:val="26"/>
        </w:rPr>
      </w:pPr>
    </w:p>
    <w:p w:rsidR="00A320BF" w:rsidRDefault="00A320BF">
      <w:pPr>
        <w:pStyle w:val="BodyA"/>
        <w:spacing w:line="259" w:lineRule="auto"/>
        <w:rPr>
          <w:rFonts w:ascii="Times" w:eastAsia="Times" w:hAnsi="Times" w:cs="Times"/>
          <w:sz w:val="26"/>
          <w:szCs w:val="26"/>
        </w:rPr>
      </w:pPr>
    </w:p>
    <w:p w:rsidR="00A320BF" w:rsidRDefault="0024133B">
      <w:pPr>
        <w:pStyle w:val="BodyA"/>
        <w:spacing w:line="259" w:lineRule="auto"/>
        <w:rPr>
          <w:rFonts w:ascii="Times" w:eastAsia="Times" w:hAnsi="Times" w:cs="Times"/>
          <w:sz w:val="26"/>
          <w:szCs w:val="26"/>
        </w:rPr>
      </w:pPr>
      <w:r>
        <w:rPr>
          <w:rFonts w:ascii="Times" w:hAnsi="Times"/>
          <w:sz w:val="26"/>
          <w:szCs w:val="26"/>
        </w:rPr>
        <w:t>Sincerely,</w:t>
      </w:r>
    </w:p>
    <w:p w:rsidR="00A320BF" w:rsidRDefault="00A320BF">
      <w:pPr>
        <w:pStyle w:val="BodyA"/>
        <w:spacing w:line="259" w:lineRule="auto"/>
        <w:rPr>
          <w:rFonts w:ascii="Times" w:eastAsia="Times" w:hAnsi="Times" w:cs="Times"/>
          <w:sz w:val="26"/>
          <w:szCs w:val="26"/>
        </w:rPr>
      </w:pPr>
    </w:p>
    <w:p w:rsidR="00A320BF" w:rsidRDefault="00A320BF">
      <w:pPr>
        <w:pStyle w:val="BodyA"/>
        <w:spacing w:line="259" w:lineRule="auto"/>
        <w:rPr>
          <w:rFonts w:ascii="Times" w:eastAsia="Times" w:hAnsi="Times" w:cs="Times"/>
          <w:sz w:val="26"/>
          <w:szCs w:val="26"/>
        </w:rPr>
      </w:pPr>
    </w:p>
    <w:p w:rsidR="00A320BF" w:rsidRDefault="00A320BF">
      <w:pPr>
        <w:pStyle w:val="BodyA"/>
        <w:spacing w:line="259" w:lineRule="auto"/>
        <w:rPr>
          <w:rFonts w:ascii="Times" w:eastAsia="Times" w:hAnsi="Times" w:cs="Times"/>
          <w:sz w:val="26"/>
          <w:szCs w:val="26"/>
        </w:rPr>
      </w:pPr>
    </w:p>
    <w:p w:rsidR="00A320BF" w:rsidRDefault="0024133B">
      <w:pPr>
        <w:pStyle w:val="BodyA"/>
        <w:spacing w:line="259" w:lineRule="auto"/>
        <w:rPr>
          <w:rFonts w:ascii="Times" w:eastAsia="Times" w:hAnsi="Times" w:cs="Times"/>
          <w:i/>
          <w:iCs/>
          <w:sz w:val="26"/>
          <w:szCs w:val="26"/>
          <w:shd w:val="clear" w:color="auto" w:fill="FFFF00"/>
          <w:lang w:val="de-DE"/>
        </w:rPr>
      </w:pPr>
      <w:r>
        <w:rPr>
          <w:rFonts w:ascii="Times" w:hAnsi="Times"/>
          <w:i/>
          <w:iCs/>
          <w:sz w:val="26"/>
          <w:szCs w:val="26"/>
          <w:shd w:val="clear" w:color="auto" w:fill="FFFF00"/>
          <w:lang w:val="de-DE"/>
        </w:rPr>
        <w:t>Name</w:t>
      </w:r>
    </w:p>
    <w:p w:rsidR="00A320BF" w:rsidRDefault="0024133B">
      <w:pPr>
        <w:pStyle w:val="BodyA"/>
        <w:spacing w:line="259" w:lineRule="auto"/>
        <w:rPr>
          <w:rFonts w:ascii="Times" w:eastAsia="Times" w:hAnsi="Times" w:cs="Times"/>
          <w:i/>
          <w:iCs/>
          <w:sz w:val="26"/>
          <w:szCs w:val="26"/>
          <w:lang w:val="de-DE"/>
        </w:rPr>
      </w:pPr>
      <w:r>
        <w:rPr>
          <w:rFonts w:ascii="Times" w:hAnsi="Times"/>
          <w:i/>
          <w:iCs/>
          <w:sz w:val="26"/>
          <w:szCs w:val="26"/>
          <w:shd w:val="clear" w:color="auto" w:fill="FFFF00"/>
          <w:lang w:val="de-DE"/>
        </w:rPr>
        <w:t>Title</w:t>
      </w:r>
    </w:p>
    <w:p w:rsidR="00A320BF" w:rsidRDefault="00A320BF">
      <w:pPr>
        <w:pStyle w:val="BodyA"/>
        <w:spacing w:line="259" w:lineRule="auto"/>
        <w:rPr>
          <w:rFonts w:ascii="Times" w:eastAsia="Times" w:hAnsi="Times" w:cs="Times"/>
          <w:sz w:val="26"/>
          <w:szCs w:val="26"/>
        </w:rPr>
      </w:pPr>
    </w:p>
    <w:p w:rsidR="00A320BF" w:rsidRDefault="0024133B">
      <w:pPr>
        <w:pStyle w:val="BodyA"/>
        <w:spacing w:line="259" w:lineRule="auto"/>
        <w:rPr>
          <w:rFonts w:ascii="Times" w:eastAsia="Times" w:hAnsi="Times" w:cs="Times"/>
          <w:sz w:val="26"/>
          <w:szCs w:val="26"/>
          <w:lang w:val="it-IT"/>
        </w:rPr>
      </w:pPr>
      <w:r>
        <w:rPr>
          <w:rFonts w:ascii="Times" w:hAnsi="Times"/>
          <w:sz w:val="26"/>
          <w:szCs w:val="26"/>
          <w:lang w:val="it-IT"/>
        </w:rPr>
        <w:t>Cc: Senator Richard Pan</w:t>
      </w:r>
    </w:p>
    <w:p w:rsidR="00A320BF" w:rsidRDefault="00A320BF">
      <w:pPr>
        <w:pStyle w:val="BodyA"/>
        <w:spacing w:line="259" w:lineRule="auto"/>
        <w:rPr>
          <w:rFonts w:ascii="Times" w:eastAsia="Times" w:hAnsi="Times" w:cs="Times"/>
          <w:sz w:val="26"/>
          <w:szCs w:val="26"/>
          <w:lang w:val="it-IT"/>
        </w:rPr>
      </w:pPr>
    </w:p>
    <w:p w:rsidR="00A320BF" w:rsidRDefault="0024133B">
      <w:pPr>
        <w:pStyle w:val="Default"/>
        <w:ind w:left="360" w:hanging="360"/>
        <w:rPr>
          <w:rFonts w:ascii="Times" w:eastAsia="Times" w:hAnsi="Times" w:cs="Times"/>
          <w:b/>
          <w:bCs/>
          <w:sz w:val="26"/>
          <w:szCs w:val="26"/>
          <w:u w:color="000000"/>
          <w:shd w:val="clear" w:color="auto" w:fill="FFFFFF"/>
          <w:lang w:val="en-US"/>
        </w:rPr>
      </w:pPr>
      <w:r>
        <w:rPr>
          <w:rFonts w:ascii="Times" w:hAnsi="Times"/>
          <w:b/>
          <w:bCs/>
          <w:sz w:val="26"/>
          <w:szCs w:val="26"/>
          <w:u w:color="000000"/>
          <w:shd w:val="clear" w:color="auto" w:fill="FFFFFF"/>
          <w:lang w:val="en-US"/>
        </w:rPr>
        <w:t>References</w:t>
      </w:r>
    </w:p>
    <w:p w:rsidR="00A320BF" w:rsidRDefault="0024133B">
      <w:pPr>
        <w:pStyle w:val="Default"/>
        <w:ind w:left="360" w:hanging="360"/>
        <w:rPr>
          <w:rFonts w:ascii="Times" w:eastAsia="Times" w:hAnsi="Times" w:cs="Times"/>
          <w:sz w:val="26"/>
          <w:szCs w:val="26"/>
          <w:u w:color="000000"/>
          <w:shd w:val="clear" w:color="auto" w:fill="FFFFFF"/>
          <w:lang w:val="en-US"/>
        </w:rPr>
      </w:pPr>
      <w:r>
        <w:rPr>
          <w:rFonts w:ascii="Times" w:hAnsi="Times"/>
          <w:sz w:val="26"/>
          <w:szCs w:val="26"/>
          <w:u w:color="000000"/>
          <w:shd w:val="clear" w:color="auto" w:fill="FFFFFF"/>
          <w:lang w:val="de-DE"/>
        </w:rPr>
        <w:t>Burgess</w:t>
      </w:r>
      <w:r>
        <w:rPr>
          <w:rFonts w:ascii="Times" w:hAnsi="Times"/>
          <w:sz w:val="26"/>
          <w:szCs w:val="26"/>
          <w:u w:color="000000"/>
          <w:shd w:val="clear" w:color="auto" w:fill="FFFFFF"/>
          <w:lang w:val="en-US"/>
        </w:rPr>
        <w:t xml:space="preserve">, A.W., Phillips, S.L. (2006). Sexual abuse, trauma, and dementia in the elderly: A retrospective study of 284 cases. </w:t>
      </w:r>
      <w:r>
        <w:rPr>
          <w:rFonts w:ascii="Times" w:hAnsi="Times"/>
          <w:i/>
          <w:iCs/>
          <w:sz w:val="26"/>
          <w:szCs w:val="26"/>
          <w:u w:color="000000"/>
          <w:shd w:val="clear" w:color="auto" w:fill="FFFFFF"/>
          <w:lang w:val="en-US"/>
        </w:rPr>
        <w:t>Victims &amp; Offenders, 1</w:t>
      </w:r>
      <w:r>
        <w:rPr>
          <w:rFonts w:ascii="Times" w:hAnsi="Times"/>
          <w:sz w:val="26"/>
          <w:szCs w:val="26"/>
          <w:u w:color="000000"/>
          <w:shd w:val="clear" w:color="auto" w:fill="FFFFFF"/>
          <w:lang w:val="en-US"/>
        </w:rPr>
        <w:t>(2): 193–204.</w:t>
      </w:r>
    </w:p>
    <w:p w:rsidR="00A320BF" w:rsidRDefault="0024133B">
      <w:pPr>
        <w:pStyle w:val="Default"/>
        <w:ind w:left="360" w:hanging="360"/>
        <w:rPr>
          <w:rFonts w:ascii="Times" w:eastAsia="Times" w:hAnsi="Times" w:cs="Times"/>
          <w:sz w:val="26"/>
          <w:szCs w:val="26"/>
          <w:u w:color="000000"/>
        </w:rPr>
      </w:pPr>
      <w:r>
        <w:rPr>
          <w:rFonts w:ascii="Times" w:hAnsi="Times"/>
          <w:sz w:val="26"/>
          <w:szCs w:val="26"/>
          <w:u w:color="000000"/>
          <w:lang w:val="en-US"/>
        </w:rPr>
        <w:t xml:space="preserve">California Health and Human Services Agency. (n.d.) </w:t>
      </w:r>
      <w:r>
        <w:rPr>
          <w:rFonts w:ascii="Times" w:hAnsi="Times"/>
          <w:sz w:val="26"/>
          <w:szCs w:val="26"/>
          <w:u w:color="000000"/>
        </w:rPr>
        <w:t xml:space="preserve">California’s </w:t>
      </w:r>
      <w:r>
        <w:rPr>
          <w:rFonts w:ascii="Times" w:hAnsi="Times"/>
          <w:sz w:val="26"/>
          <w:szCs w:val="26"/>
          <w:u w:color="000000"/>
          <w:lang w:val="en-US"/>
        </w:rPr>
        <w:t>s</w:t>
      </w:r>
      <w:r>
        <w:rPr>
          <w:rFonts w:ascii="Times" w:hAnsi="Times"/>
          <w:sz w:val="26"/>
          <w:szCs w:val="26"/>
          <w:u w:color="000000"/>
        </w:rPr>
        <w:t xml:space="preserve">tate </w:t>
      </w:r>
      <w:r>
        <w:rPr>
          <w:rFonts w:ascii="Times" w:hAnsi="Times"/>
          <w:sz w:val="26"/>
          <w:szCs w:val="26"/>
          <w:u w:color="000000"/>
          <w:lang w:val="en-US"/>
        </w:rPr>
        <w:t>p</w:t>
      </w:r>
      <w:r>
        <w:rPr>
          <w:rFonts w:ascii="Times" w:hAnsi="Times"/>
          <w:sz w:val="26"/>
          <w:szCs w:val="26"/>
          <w:u w:color="000000"/>
        </w:rPr>
        <w:t xml:space="preserve">lan for Alzheimer’s </w:t>
      </w:r>
      <w:r>
        <w:rPr>
          <w:rFonts w:ascii="Times" w:hAnsi="Times"/>
          <w:sz w:val="26"/>
          <w:szCs w:val="26"/>
          <w:u w:color="000000"/>
          <w:lang w:val="en-US"/>
        </w:rPr>
        <w:t>disease: An a</w:t>
      </w:r>
      <w:proofErr w:type="spellStart"/>
      <w:r>
        <w:rPr>
          <w:rFonts w:ascii="Times" w:hAnsi="Times"/>
          <w:sz w:val="26"/>
          <w:szCs w:val="26"/>
          <w:u w:color="000000"/>
          <w:lang w:val="fr-FR"/>
        </w:rPr>
        <w:t>ction</w:t>
      </w:r>
      <w:proofErr w:type="spellEnd"/>
      <w:r>
        <w:rPr>
          <w:rFonts w:ascii="Times" w:hAnsi="Times"/>
          <w:sz w:val="26"/>
          <w:szCs w:val="26"/>
          <w:u w:color="000000"/>
          <w:lang w:val="fr-FR"/>
        </w:rPr>
        <w:t xml:space="preserve"> </w:t>
      </w:r>
      <w:r>
        <w:rPr>
          <w:rFonts w:ascii="Times" w:hAnsi="Times"/>
          <w:sz w:val="26"/>
          <w:szCs w:val="26"/>
          <w:u w:color="000000"/>
          <w:lang w:val="en-US"/>
        </w:rPr>
        <w:t>p</w:t>
      </w:r>
      <w:r>
        <w:rPr>
          <w:rFonts w:ascii="Times" w:hAnsi="Times"/>
          <w:sz w:val="26"/>
          <w:szCs w:val="26"/>
          <w:u w:color="000000"/>
        </w:rPr>
        <w:t xml:space="preserve">lan for 2011-2021. </w:t>
      </w:r>
      <w:r>
        <w:rPr>
          <w:rFonts w:ascii="Times" w:hAnsi="Times"/>
          <w:sz w:val="26"/>
          <w:szCs w:val="26"/>
          <w:u w:color="000000"/>
          <w:lang w:val="en-US"/>
        </w:rPr>
        <w:t xml:space="preserve">Retrieved from </w:t>
      </w:r>
      <w:hyperlink r:id="rId8" w:history="1">
        <w:r>
          <w:rPr>
            <w:rStyle w:val="Hyperlink0"/>
            <w:rFonts w:ascii="Times" w:hAnsi="Times"/>
            <w:sz w:val="26"/>
            <w:szCs w:val="26"/>
            <w:lang w:val="en-US"/>
          </w:rPr>
          <w:t>https://www.alz.org/national/documents/StatePlan-Calif.pdf</w:t>
        </w:r>
      </w:hyperlink>
    </w:p>
    <w:p w:rsidR="00A320BF" w:rsidRDefault="0024133B">
      <w:pPr>
        <w:pStyle w:val="Default"/>
        <w:ind w:left="360" w:hanging="360"/>
        <w:rPr>
          <w:rFonts w:ascii="Times" w:eastAsia="Times" w:hAnsi="Times" w:cs="Times"/>
          <w:sz w:val="26"/>
          <w:szCs w:val="26"/>
          <w:u w:color="000000"/>
          <w:shd w:val="clear" w:color="auto" w:fill="FFFFFF"/>
        </w:rPr>
      </w:pPr>
      <w:r>
        <w:rPr>
          <w:rFonts w:ascii="Times" w:hAnsi="Times"/>
          <w:sz w:val="26"/>
          <w:szCs w:val="26"/>
          <w:u w:color="000000"/>
          <w:shd w:val="clear" w:color="auto" w:fill="FFFFFF"/>
          <w:lang w:val="nl-NL"/>
        </w:rPr>
        <w:t>Lee</w:t>
      </w:r>
      <w:r>
        <w:rPr>
          <w:rFonts w:ascii="Times" w:hAnsi="Times"/>
          <w:sz w:val="26"/>
          <w:szCs w:val="26"/>
          <w:u w:color="000000"/>
          <w:shd w:val="clear" w:color="auto" w:fill="FFFFFF"/>
          <w:lang w:val="en-US"/>
        </w:rPr>
        <w:t xml:space="preserve">, M. &amp; </w:t>
      </w:r>
      <w:proofErr w:type="spellStart"/>
      <w:r>
        <w:rPr>
          <w:rFonts w:ascii="Times" w:hAnsi="Times"/>
          <w:sz w:val="26"/>
          <w:szCs w:val="26"/>
          <w:u w:color="000000"/>
          <w:shd w:val="clear" w:color="auto" w:fill="FFFFFF"/>
          <w:lang w:val="en-US"/>
        </w:rPr>
        <w:t>Kolomer</w:t>
      </w:r>
      <w:proofErr w:type="spellEnd"/>
      <w:r>
        <w:rPr>
          <w:rFonts w:ascii="Times" w:hAnsi="Times"/>
          <w:sz w:val="26"/>
          <w:szCs w:val="26"/>
          <w:u w:color="000000"/>
          <w:shd w:val="clear" w:color="auto" w:fill="FFFFFF"/>
          <w:lang w:val="en-US"/>
        </w:rPr>
        <w:t>, S.R. (2005). Caregiver burden, dementia, and elder abuse in South Korea. </w:t>
      </w:r>
      <w:r>
        <w:rPr>
          <w:rFonts w:ascii="Times" w:hAnsi="Times"/>
          <w:i/>
          <w:iCs/>
          <w:sz w:val="26"/>
          <w:szCs w:val="26"/>
          <w:u w:color="000000"/>
          <w:shd w:val="clear" w:color="auto" w:fill="FFFFFF"/>
          <w:lang w:val="en-US"/>
        </w:rPr>
        <w:t xml:space="preserve">Journal of </w:t>
      </w:r>
      <w:r>
        <w:rPr>
          <w:rFonts w:ascii="Times" w:hAnsi="Times"/>
          <w:i/>
          <w:iCs/>
          <w:sz w:val="26"/>
          <w:szCs w:val="26"/>
          <w:u w:color="000000"/>
          <w:shd w:val="clear" w:color="auto" w:fill="FFFFFF"/>
          <w:lang w:val="de-DE"/>
        </w:rPr>
        <w:t xml:space="preserve">Elder Abuse </w:t>
      </w:r>
      <w:r>
        <w:rPr>
          <w:rFonts w:ascii="Times" w:hAnsi="Times"/>
          <w:i/>
          <w:iCs/>
          <w:sz w:val="26"/>
          <w:szCs w:val="26"/>
          <w:u w:color="000000"/>
          <w:shd w:val="clear" w:color="auto" w:fill="FFFFFF"/>
          <w:lang w:val="en-US"/>
        </w:rPr>
        <w:t xml:space="preserve">&amp; </w:t>
      </w:r>
      <w:proofErr w:type="spellStart"/>
      <w:r>
        <w:rPr>
          <w:rFonts w:ascii="Times" w:hAnsi="Times"/>
          <w:i/>
          <w:iCs/>
          <w:sz w:val="26"/>
          <w:szCs w:val="26"/>
          <w:u w:color="000000"/>
          <w:shd w:val="clear" w:color="auto" w:fill="FFFFFF"/>
        </w:rPr>
        <w:t>Negl</w:t>
      </w:r>
      <w:r>
        <w:rPr>
          <w:rFonts w:ascii="Times" w:hAnsi="Times"/>
          <w:i/>
          <w:iCs/>
          <w:sz w:val="26"/>
          <w:szCs w:val="26"/>
          <w:u w:color="000000"/>
          <w:shd w:val="clear" w:color="auto" w:fill="FFFFFF"/>
          <w:lang w:val="en-US"/>
        </w:rPr>
        <w:t>ect</w:t>
      </w:r>
      <w:proofErr w:type="spellEnd"/>
      <w:r>
        <w:rPr>
          <w:rFonts w:ascii="Times" w:hAnsi="Times"/>
          <w:i/>
          <w:iCs/>
          <w:sz w:val="26"/>
          <w:szCs w:val="26"/>
          <w:u w:color="000000"/>
          <w:shd w:val="clear" w:color="auto" w:fill="FFFFFF"/>
          <w:lang w:val="en-US"/>
        </w:rPr>
        <w:t>, 17</w:t>
      </w:r>
      <w:r>
        <w:rPr>
          <w:rFonts w:ascii="Times" w:hAnsi="Times"/>
          <w:sz w:val="26"/>
          <w:szCs w:val="26"/>
          <w:u w:color="000000"/>
          <w:shd w:val="clear" w:color="auto" w:fill="FFFFFF"/>
          <w:lang w:val="en-US"/>
        </w:rPr>
        <w:t> (1): 61–</w:t>
      </w:r>
      <w:r>
        <w:rPr>
          <w:rFonts w:ascii="Times" w:hAnsi="Times"/>
          <w:sz w:val="26"/>
          <w:szCs w:val="26"/>
          <w:u w:color="000000"/>
          <w:shd w:val="clear" w:color="auto" w:fill="FFFFFF"/>
          <w:lang w:val="ru-RU"/>
        </w:rPr>
        <w:t>74</w:t>
      </w:r>
      <w:r>
        <w:rPr>
          <w:rFonts w:ascii="Times" w:hAnsi="Times"/>
          <w:sz w:val="26"/>
          <w:szCs w:val="26"/>
          <w:u w:color="000000"/>
          <w:shd w:val="clear" w:color="auto" w:fill="FFFFFF"/>
          <w:lang w:val="en-US"/>
        </w:rPr>
        <w:t>. </w:t>
      </w:r>
    </w:p>
    <w:p w:rsidR="00A320BF" w:rsidRDefault="0024133B">
      <w:pPr>
        <w:pStyle w:val="Default"/>
        <w:ind w:left="360" w:hanging="360"/>
        <w:rPr>
          <w:rFonts w:ascii="Times" w:eastAsia="Times" w:hAnsi="Times" w:cs="Times"/>
          <w:i/>
          <w:iCs/>
          <w:sz w:val="26"/>
          <w:szCs w:val="26"/>
          <w:u w:color="000000"/>
          <w:shd w:val="clear" w:color="auto" w:fill="FFFFFF"/>
        </w:rPr>
      </w:pPr>
      <w:r>
        <w:rPr>
          <w:rFonts w:ascii="Times" w:hAnsi="Times"/>
          <w:sz w:val="26"/>
          <w:szCs w:val="26"/>
          <w:u w:color="000000"/>
          <w:shd w:val="clear" w:color="auto" w:fill="FFFFFF"/>
          <w:lang w:val="es-ES_tradnl"/>
        </w:rPr>
        <w:t xml:space="preserve">Dong, X., </w:t>
      </w:r>
      <w:proofErr w:type="spellStart"/>
      <w:r>
        <w:rPr>
          <w:rFonts w:ascii="Times" w:hAnsi="Times"/>
          <w:sz w:val="26"/>
          <w:szCs w:val="26"/>
          <w:u w:color="000000"/>
          <w:shd w:val="clear" w:color="auto" w:fill="FFFFFF"/>
          <w:lang w:val="es-ES_tradnl"/>
        </w:rPr>
        <w:t>Simon</w:t>
      </w:r>
      <w:proofErr w:type="spellEnd"/>
      <w:r>
        <w:rPr>
          <w:rFonts w:ascii="Times" w:hAnsi="Times"/>
          <w:sz w:val="26"/>
          <w:szCs w:val="26"/>
          <w:u w:color="000000"/>
          <w:shd w:val="clear" w:color="auto" w:fill="FFFFFF"/>
          <w:lang w:val="es-ES_tradnl"/>
        </w:rPr>
        <w:t>, M.A., Mosqueda, L., &amp; Evans, D.A</w:t>
      </w:r>
      <w:r>
        <w:rPr>
          <w:rFonts w:ascii="Times" w:hAnsi="Times"/>
          <w:sz w:val="26"/>
          <w:szCs w:val="26"/>
          <w:u w:color="000000"/>
          <w:shd w:val="clear" w:color="auto" w:fill="FFFFFF"/>
          <w:lang w:val="en-US"/>
        </w:rPr>
        <w:t>. (2012). The prevalence of elder self-neglect in a community-dwelling population: Hoarding, hygiene, and environmental hazards. </w:t>
      </w:r>
      <w:r>
        <w:rPr>
          <w:rFonts w:ascii="Times" w:hAnsi="Times"/>
          <w:i/>
          <w:iCs/>
          <w:sz w:val="26"/>
          <w:szCs w:val="26"/>
          <w:u w:color="000000"/>
          <w:shd w:val="clear" w:color="auto" w:fill="FFFFFF"/>
          <w:lang w:val="en-US"/>
        </w:rPr>
        <w:t>Journal of Aging and Health,</w:t>
      </w:r>
      <w:r>
        <w:rPr>
          <w:rFonts w:ascii="Times" w:hAnsi="Times"/>
          <w:sz w:val="26"/>
          <w:szCs w:val="26"/>
          <w:u w:color="000000"/>
          <w:shd w:val="clear" w:color="auto" w:fill="FFFFFF"/>
          <w:lang w:val="en-US"/>
        </w:rPr>
        <w:t> </w:t>
      </w:r>
      <w:r>
        <w:rPr>
          <w:rFonts w:ascii="Times" w:hAnsi="Times"/>
          <w:i/>
          <w:iCs/>
          <w:sz w:val="26"/>
          <w:szCs w:val="26"/>
          <w:u w:color="000000"/>
          <w:shd w:val="clear" w:color="auto" w:fill="FFFFFF"/>
          <w:lang w:val="en-US"/>
        </w:rPr>
        <w:t>24</w:t>
      </w:r>
      <w:r>
        <w:rPr>
          <w:rFonts w:ascii="Times" w:hAnsi="Times"/>
          <w:sz w:val="26"/>
          <w:szCs w:val="26"/>
          <w:u w:color="000000"/>
          <w:shd w:val="clear" w:color="auto" w:fill="FFFFFF"/>
          <w:lang w:val="en-US"/>
        </w:rPr>
        <w:t> (3): 507–24.</w:t>
      </w:r>
    </w:p>
    <w:p w:rsidR="00A320BF" w:rsidRDefault="0024133B">
      <w:pPr>
        <w:pStyle w:val="Default"/>
        <w:ind w:left="360" w:hanging="360"/>
      </w:pPr>
      <w:r>
        <w:rPr>
          <w:rFonts w:ascii="Times" w:hAnsi="Times"/>
          <w:sz w:val="26"/>
          <w:szCs w:val="26"/>
          <w:u w:color="000000"/>
          <w:shd w:val="clear" w:color="auto" w:fill="FFFFFF"/>
          <w:lang w:val="en-US"/>
        </w:rPr>
        <w:t>Post, L.</w:t>
      </w:r>
      <w:r>
        <w:rPr>
          <w:rFonts w:ascii="Times" w:hAnsi="Times"/>
          <w:sz w:val="26"/>
          <w:szCs w:val="26"/>
          <w:u w:color="000000"/>
          <w:shd w:val="clear" w:color="auto" w:fill="FFFFFF"/>
          <w:lang w:val="pt-PT"/>
        </w:rPr>
        <w:t>, Page</w:t>
      </w:r>
      <w:r>
        <w:rPr>
          <w:rFonts w:ascii="Times" w:hAnsi="Times"/>
          <w:sz w:val="26"/>
          <w:szCs w:val="26"/>
          <w:u w:color="000000"/>
          <w:shd w:val="clear" w:color="auto" w:fill="FFFFFF"/>
          <w:lang w:val="en-US"/>
        </w:rPr>
        <w:t>, C.</w:t>
      </w:r>
      <w:r>
        <w:rPr>
          <w:rFonts w:ascii="Times" w:hAnsi="Times"/>
          <w:sz w:val="26"/>
          <w:szCs w:val="26"/>
          <w:u w:color="000000"/>
          <w:shd w:val="clear" w:color="auto" w:fill="FFFFFF"/>
          <w:lang w:val="de-DE"/>
        </w:rPr>
        <w:t>, Conner</w:t>
      </w:r>
      <w:r>
        <w:rPr>
          <w:rFonts w:ascii="Times" w:hAnsi="Times"/>
          <w:sz w:val="26"/>
          <w:szCs w:val="26"/>
          <w:u w:color="000000"/>
          <w:shd w:val="clear" w:color="auto" w:fill="FFFFFF"/>
          <w:lang w:val="en-US"/>
        </w:rPr>
        <w:t xml:space="preserve">, T., Prokhorov, A., Fang, Y. &amp; </w:t>
      </w:r>
      <w:proofErr w:type="spellStart"/>
      <w:r>
        <w:rPr>
          <w:rFonts w:ascii="Times" w:hAnsi="Times"/>
          <w:sz w:val="26"/>
          <w:szCs w:val="26"/>
          <w:u w:color="000000"/>
          <w:shd w:val="clear" w:color="auto" w:fill="FFFFFF"/>
          <w:lang w:val="en-US"/>
        </w:rPr>
        <w:t>Biroscak</w:t>
      </w:r>
      <w:proofErr w:type="spellEnd"/>
      <w:r>
        <w:rPr>
          <w:rFonts w:ascii="Times" w:hAnsi="Times"/>
          <w:sz w:val="26"/>
          <w:szCs w:val="26"/>
          <w:u w:color="000000"/>
          <w:shd w:val="clear" w:color="auto" w:fill="FFFFFF"/>
          <w:lang w:val="en-US"/>
        </w:rPr>
        <w:t>, B.J. (2010). Elder abuse in long-term care: types, patterns, and risk factors. </w:t>
      </w:r>
      <w:r>
        <w:rPr>
          <w:rFonts w:ascii="Times" w:hAnsi="Times"/>
          <w:i/>
          <w:iCs/>
          <w:sz w:val="26"/>
          <w:szCs w:val="26"/>
          <w:u w:color="000000"/>
          <w:shd w:val="clear" w:color="auto" w:fill="FFFFFF"/>
          <w:lang w:val="de-DE"/>
        </w:rPr>
        <w:t>Research on Aging,</w:t>
      </w:r>
      <w:r>
        <w:rPr>
          <w:rFonts w:ascii="Times" w:hAnsi="Times"/>
          <w:i/>
          <w:iCs/>
          <w:sz w:val="26"/>
          <w:szCs w:val="26"/>
          <w:u w:color="000000"/>
          <w:shd w:val="clear" w:color="auto" w:fill="FFFFFF"/>
          <w:lang w:val="en-US"/>
        </w:rPr>
        <w:t xml:space="preserve"> 32</w:t>
      </w:r>
      <w:r>
        <w:rPr>
          <w:rFonts w:ascii="Times" w:hAnsi="Times"/>
          <w:sz w:val="26"/>
          <w:szCs w:val="26"/>
          <w:u w:color="000000"/>
          <w:shd w:val="clear" w:color="auto" w:fill="FFFFFF"/>
          <w:lang w:val="en-US"/>
        </w:rPr>
        <w:t> (3): 323 – 48.</w:t>
      </w:r>
    </w:p>
    <w:sectPr w:rsidR="00A320BF">
      <w:headerReference w:type="default" r:id="rId9"/>
      <w:footerReference w:type="default" r:id="rId10"/>
      <w:pgSz w:w="12240" w:h="15840"/>
      <w:pgMar w:top="990" w:right="1440" w:bottom="99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35C" w:rsidRDefault="0024133B">
      <w:r>
        <w:separator/>
      </w:r>
    </w:p>
  </w:endnote>
  <w:endnote w:type="continuationSeparator" w:id="0">
    <w:p w:rsidR="0042135C" w:rsidRDefault="0024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BF" w:rsidRDefault="00A320B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35C" w:rsidRDefault="0024133B">
      <w:r>
        <w:separator/>
      </w:r>
    </w:p>
  </w:footnote>
  <w:footnote w:type="continuationSeparator" w:id="0">
    <w:p w:rsidR="0042135C" w:rsidRDefault="002413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BF" w:rsidRDefault="00A320BF">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B1566"/>
    <w:multiLevelType w:val="hybridMultilevel"/>
    <w:tmpl w:val="457879FA"/>
    <w:styleLink w:val="ImportedStyle1"/>
    <w:lvl w:ilvl="0" w:tplc="F3FC96DE">
      <w:start w:val="1"/>
      <w:numFmt w:val="bullet"/>
      <w:lvlText w:val="•"/>
      <w:lvlJc w:val="left"/>
      <w:pPr>
        <w:ind w:left="33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4120F6FE">
      <w:start w:val="1"/>
      <w:numFmt w:val="bullet"/>
      <w:lvlText w:val="•"/>
      <w:lvlJc w:val="left"/>
      <w:pPr>
        <w:ind w:left="1078" w:hanging="35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B222030">
      <w:start w:val="1"/>
      <w:numFmt w:val="bullet"/>
      <w:lvlText w:val="•"/>
      <w:lvlJc w:val="left"/>
      <w:pPr>
        <w:ind w:left="1798" w:hanging="35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1CEA9AE0">
      <w:start w:val="1"/>
      <w:numFmt w:val="bullet"/>
      <w:lvlText w:val="•"/>
      <w:lvlJc w:val="left"/>
      <w:pPr>
        <w:ind w:left="2518" w:hanging="35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07BC035C">
      <w:start w:val="1"/>
      <w:numFmt w:val="bullet"/>
      <w:lvlText w:val="•"/>
      <w:lvlJc w:val="left"/>
      <w:pPr>
        <w:ind w:left="3238" w:hanging="35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25C452CC">
      <w:start w:val="1"/>
      <w:numFmt w:val="bullet"/>
      <w:lvlText w:val="•"/>
      <w:lvlJc w:val="left"/>
      <w:pPr>
        <w:ind w:left="3958" w:hanging="35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C0400F86">
      <w:start w:val="1"/>
      <w:numFmt w:val="bullet"/>
      <w:lvlText w:val="•"/>
      <w:lvlJc w:val="left"/>
      <w:pPr>
        <w:ind w:left="4678" w:hanging="35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026085AA">
      <w:start w:val="1"/>
      <w:numFmt w:val="bullet"/>
      <w:lvlText w:val="•"/>
      <w:lvlJc w:val="left"/>
      <w:pPr>
        <w:ind w:left="5398" w:hanging="35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72AEE6B0">
      <w:start w:val="1"/>
      <w:numFmt w:val="bullet"/>
      <w:lvlText w:val="•"/>
      <w:lvlJc w:val="left"/>
      <w:pPr>
        <w:ind w:left="6118" w:hanging="358"/>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9CB5D90"/>
    <w:multiLevelType w:val="hybridMultilevel"/>
    <w:tmpl w:val="457879FA"/>
    <w:numStyleLink w:val="ImportedStyle1"/>
  </w:abstractNum>
  <w:num w:numId="1">
    <w:abstractNumId w:val="0"/>
  </w:num>
  <w:num w:numId="2">
    <w:abstractNumId w:val="1"/>
  </w:num>
  <w:num w:numId="3">
    <w:abstractNumId w:val="1"/>
    <w:lvlOverride w:ilvl="0">
      <w:lvl w:ilvl="0" w:tplc="48C06C9E">
        <w:start w:val="1"/>
        <w:numFmt w:val="bullet"/>
        <w:lvlText w:val="•"/>
        <w:lvlJc w:val="left"/>
        <w:pPr>
          <w:ind w:left="3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8A9712">
        <w:start w:val="1"/>
        <w:numFmt w:val="bullet"/>
        <w:lvlText w:val="•"/>
        <w:lvlJc w:val="left"/>
        <w:pPr>
          <w:ind w:left="1110" w:hanging="39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36DE9E">
        <w:start w:val="1"/>
        <w:numFmt w:val="bullet"/>
        <w:lvlText w:val="•"/>
        <w:lvlJc w:val="left"/>
        <w:pPr>
          <w:ind w:left="1830" w:hanging="39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2346CE4">
        <w:start w:val="1"/>
        <w:numFmt w:val="bullet"/>
        <w:lvlText w:val="•"/>
        <w:lvlJc w:val="left"/>
        <w:pPr>
          <w:ind w:left="2550" w:hanging="39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781F0E">
        <w:start w:val="1"/>
        <w:numFmt w:val="bullet"/>
        <w:lvlText w:val="•"/>
        <w:lvlJc w:val="left"/>
        <w:pPr>
          <w:ind w:left="3270" w:hanging="39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554D4DE">
        <w:start w:val="1"/>
        <w:numFmt w:val="bullet"/>
        <w:lvlText w:val="•"/>
        <w:lvlJc w:val="left"/>
        <w:pPr>
          <w:ind w:left="3990" w:hanging="39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9FA2C7C">
        <w:start w:val="1"/>
        <w:numFmt w:val="bullet"/>
        <w:lvlText w:val="•"/>
        <w:lvlJc w:val="left"/>
        <w:pPr>
          <w:ind w:left="4710" w:hanging="39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AE2440">
        <w:start w:val="1"/>
        <w:numFmt w:val="bullet"/>
        <w:lvlText w:val="•"/>
        <w:lvlJc w:val="left"/>
        <w:pPr>
          <w:ind w:left="5430" w:hanging="39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17CDEF2">
        <w:start w:val="1"/>
        <w:numFmt w:val="bullet"/>
        <w:lvlText w:val="•"/>
        <w:lvlJc w:val="left"/>
        <w:pPr>
          <w:ind w:left="6150" w:hanging="39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BF"/>
    <w:rsid w:val="00084D7D"/>
    <w:rsid w:val="0024133B"/>
    <w:rsid w:val="0042135C"/>
    <w:rsid w:val="00A3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pPr>
    <w:rPr>
      <w:rFonts w:ascii="Arial" w:hAnsi="Arial" w:cs="Arial Unicode MS"/>
      <w:color w:val="000000"/>
      <w:sz w:val="24"/>
      <w:szCs w:val="24"/>
      <w:u w:color="000000"/>
    </w:rPr>
  </w:style>
  <w:style w:type="paragraph" w:customStyle="1" w:styleId="Default">
    <w:name w:val="Default"/>
    <w:rPr>
      <w:rFonts w:ascii="Helvetica Neue" w:hAnsi="Helvetica Neue" w:cs="Arial Unicode MS"/>
      <w:color w:val="000000"/>
      <w:sz w:val="22"/>
      <w:szCs w:val="22"/>
      <w:lang w:val="it-IT"/>
    </w:rPr>
  </w:style>
  <w:style w:type="paragraph" w:styleId="BodyTextIndent">
    <w:name w:val="Body Text Indent"/>
    <w:pPr>
      <w:jc w:val="both"/>
    </w:pPr>
    <w:rPr>
      <w:rFonts w:ascii="Arial" w:eastAsia="Arial" w:hAnsi="Arial" w:cs="Arial"/>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pPr>
    <w:rPr>
      <w:rFonts w:ascii="Arial" w:hAnsi="Arial" w:cs="Arial Unicode MS"/>
      <w:color w:val="000000"/>
      <w:sz w:val="24"/>
      <w:szCs w:val="24"/>
      <w:u w:color="000000"/>
    </w:rPr>
  </w:style>
  <w:style w:type="paragraph" w:customStyle="1" w:styleId="Default">
    <w:name w:val="Default"/>
    <w:rPr>
      <w:rFonts w:ascii="Helvetica Neue" w:hAnsi="Helvetica Neue" w:cs="Arial Unicode MS"/>
      <w:color w:val="000000"/>
      <w:sz w:val="22"/>
      <w:szCs w:val="22"/>
      <w:lang w:val="it-IT"/>
    </w:rPr>
  </w:style>
  <w:style w:type="paragraph" w:styleId="BodyTextIndent">
    <w:name w:val="Body Text Indent"/>
    <w:pPr>
      <w:jc w:val="both"/>
    </w:pPr>
    <w:rPr>
      <w:rFonts w:ascii="Arial" w:eastAsia="Arial" w:hAnsi="Arial" w:cs="Arial"/>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lz.org/national/documents/StatePlan-Calif.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Sewell, Carol@CCoA</dc:creator>
  <cp:lastModifiedBy>Giacomo Damonte</cp:lastModifiedBy>
  <cp:revision>2</cp:revision>
  <dcterms:created xsi:type="dcterms:W3CDTF">2019-05-01T20:12:00Z</dcterms:created>
  <dcterms:modified xsi:type="dcterms:W3CDTF">2019-05-01T20:12:00Z</dcterms:modified>
</cp:coreProperties>
</file>